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65DB"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附件8</w:t>
      </w:r>
    </w:p>
    <w:p w14:paraId="2E142029">
      <w:pPr>
        <w:spacing w:after="187" w:afterLines="60"/>
        <w:ind w:firstLine="0" w:firstLineChars="0"/>
        <w:jc w:val="center"/>
        <w:rPr>
          <w:rFonts w:ascii="宋体" w:hAnsi="宋体" w:eastAsia="宋体" w:cs="宋体"/>
          <w:sz w:val="44"/>
          <w:szCs w:val="44"/>
          <w:shd w:val="clear" w:color="FFFFFF" w:fill="D9D9D9"/>
        </w:rPr>
      </w:pPr>
      <w:r>
        <w:rPr>
          <w:rFonts w:hint="eastAsia" w:ascii="宋体" w:hAnsi="宋体" w:eastAsia="宋体" w:cs="宋体"/>
          <w:sz w:val="44"/>
          <w:szCs w:val="44"/>
        </w:rPr>
        <w:t>竣工资料清单</w:t>
      </w:r>
    </w:p>
    <w:p w14:paraId="04611F2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一、资料封皮</w:t>
      </w:r>
    </w:p>
    <w:p w14:paraId="48D972DB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公司名称/项目名称+变压器容量（注意kVA大小写或写中文“千伏安”）。</w:t>
      </w:r>
    </w:p>
    <w:p w14:paraId="08C8463A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二、竣工资料目录</w:t>
      </w:r>
    </w:p>
    <w:p w14:paraId="109DAED1"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三、竣工图纸</w:t>
      </w:r>
    </w:p>
    <w:p w14:paraId="4613B709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提供与项目送电范围一致的竣工图，同时加盖设计院及施工单位竣工图章并签字。</w:t>
      </w:r>
    </w:p>
    <w:p w14:paraId="44710ACD">
      <w:pPr>
        <w:numPr>
          <w:ilvl w:val="0"/>
          <w:numId w:val="1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资质证书（复印件）</w:t>
      </w:r>
    </w:p>
    <w:p w14:paraId="215708DA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（一）营业执照；</w:t>
      </w:r>
    </w:p>
    <w:p w14:paraId="575B920D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（二）安全生产许可证；</w:t>
      </w:r>
    </w:p>
    <w:p w14:paraId="720812E4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（三）建筑业企业资质证书；</w:t>
      </w:r>
    </w:p>
    <w:p w14:paraId="141208B0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（四）承装（修、试）电力设施许可证。</w:t>
      </w:r>
    </w:p>
    <w:p w14:paraId="3289EC65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五、设备元器件产品说明书、合格证、安装图纸</w:t>
      </w:r>
    </w:p>
    <w:p w14:paraId="05D255B0">
      <w:pPr>
        <w:rPr>
          <w:rFonts w:hint="eastAsia" w:ascii="仿宋_GB2312" w:hAnsi="仿宋_GB2312" w:eastAsia="仿宋_GB2312" w:cs="仿宋_GB2312"/>
          <w:color w:val="222222"/>
          <w:kern w:val="0"/>
          <w:highlight w:val="yellow"/>
        </w:rPr>
      </w:pPr>
      <w:r>
        <w:rPr>
          <w:rFonts w:hint="eastAsia" w:ascii="仿宋_GB2312" w:hAnsi="仿宋_GB2312" w:eastAsia="仿宋_GB2312" w:cs="仿宋_GB2312"/>
        </w:rPr>
        <w:t>提供送电范围内设备元器件包含：负荷开关、真空断路器、综合自动保护装置、电流互感器、电压互感器、避雷器、熔断器、变压器、断路器等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</w:rPr>
        <w:t>原件或复印件）。</w:t>
      </w:r>
    </w:p>
    <w:p w14:paraId="0001538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六、高、低压设备出厂合格证、出厂试验报告（原件或复印件）</w:t>
      </w:r>
    </w:p>
    <w:p w14:paraId="1F2D1BD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七、电力电缆合格证及试验报告（复印件）</w:t>
      </w:r>
    </w:p>
    <w:p w14:paraId="6DA5D9BE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（一）制造商出厂检验报告；</w:t>
      </w:r>
    </w:p>
    <w:p w14:paraId="2BD55C18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（二）制造商营业执照；</w:t>
      </w:r>
    </w:p>
    <w:p w14:paraId="449BC5FE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（三）制造商生产许可证；</w:t>
      </w:r>
    </w:p>
    <w:p w14:paraId="65B98498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（四）电力电缆产品合格证；</w:t>
      </w:r>
    </w:p>
    <w:p w14:paraId="53395AC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（五）电力电缆终端、中间接头、防爆盒合格证，同时提供电力电缆头制作人员资格证书；</w:t>
      </w:r>
    </w:p>
    <w:p w14:paraId="557C537E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（六）电力电缆试验报告（加盖试验专用章），同时提供电缆试验人员资格证书。</w:t>
      </w:r>
    </w:p>
    <w:p w14:paraId="11B8637F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八、配电工程《试验报告》《试验承诺书》</w:t>
      </w:r>
    </w:p>
    <w:p w14:paraId="05FE2C7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九、保护定值单（加盖设计院公章）</w:t>
      </w:r>
    </w:p>
    <w:p w14:paraId="2EABDD4D">
      <w:pPr>
        <w:rPr>
          <w:rFonts w:hint="eastAsia" w:ascii="仿宋_GB2312" w:hAnsi="仿宋_GB2312" w:eastAsia="仿宋_GB2312" w:cs="仿宋_GB2312"/>
        </w:rPr>
      </w:pPr>
    </w:p>
    <w:p w14:paraId="3A346E75">
      <w:pPr>
        <w:rPr>
          <w:rFonts w:hint="eastAsia" w:ascii="仿宋_GB2312" w:hAnsi="仿宋_GB2312" w:eastAsia="仿宋_GB2312" w:cs="仿宋_GB2312"/>
        </w:rPr>
      </w:pPr>
    </w:p>
    <w:p w14:paraId="4AD8975E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注：1.竣工资料准备齐全后，发电子版进行预审。</w:t>
      </w:r>
    </w:p>
    <w:p w14:paraId="12DB40BD">
      <w:pPr>
        <w:ind w:left="1600" w:leftChars="400" w:hanging="320" w:hanging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2.竣工资料预审通过后，胶装成册并逐页加盖施工单位公章。</w:t>
      </w:r>
    </w:p>
    <w:p w14:paraId="74577F28">
      <w:pPr>
        <w:ind w:left="1600" w:leftChars="400" w:hanging="320" w:hanging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3.竣工资料纸质版两套，PDF电子版一份（加盖施工单位公章）。</w:t>
      </w:r>
    </w:p>
    <w:p w14:paraId="549188B0"/>
    <w:p w14:paraId="28E904C6"/>
    <w:p w14:paraId="4CE76D3D"/>
    <w:p w14:paraId="3FE196D2"/>
    <w:p w14:paraId="2AE4461C"/>
    <w:p w14:paraId="0732A6AF"/>
    <w:p w14:paraId="37358000"/>
    <w:p w14:paraId="31712ED9"/>
    <w:p w14:paraId="6260FE11">
      <w:pPr>
        <w:ind w:firstLine="0" w:firstLineChars="0"/>
        <w:rPr>
          <w:rFonts w:ascii="黑体" w:hAnsi="黑体" w:eastAsia="黑体" w:cs="黑体"/>
        </w:rPr>
      </w:pPr>
    </w:p>
    <w:p w14:paraId="77FDCFF5">
      <w:pPr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7EE0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C0491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C0491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B3C1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A7F4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0A67">
    <w:pPr>
      <w:pStyle w:val="4"/>
      <w:spacing w:line="240" w:lineRule="auto"/>
      <w:ind w:firstLine="0" w:firstLineChars="0"/>
    </w:pPr>
  </w:p>
  <w:p w14:paraId="3C57D9CE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99F2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F975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900E"/>
    <w:multiLevelType w:val="singleLevel"/>
    <w:tmpl w:val="FFF790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2E053A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9F48B0BB8E494F549F43BA541460DB8B_13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